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F1" w:rsidRDefault="001B2E9D" w:rsidP="001B2E9D">
      <w:pPr>
        <w:contextualSpacing/>
        <w:jc w:val="center"/>
        <w:rPr>
          <w:rFonts w:ascii="Georgia" w:hAnsi="Georgia" w:cs="Arial"/>
          <w:b/>
          <w:sz w:val="24"/>
          <w:szCs w:val="24"/>
        </w:rPr>
      </w:pPr>
      <w:r w:rsidRPr="00754CF1">
        <w:rPr>
          <w:rFonts w:ascii="Georgia" w:hAnsi="Georgia" w:cs="Arial"/>
          <w:b/>
          <w:sz w:val="24"/>
          <w:szCs w:val="24"/>
        </w:rPr>
        <w:t>A</w:t>
      </w:r>
      <w:bookmarkStart w:id="0" w:name="_GoBack"/>
      <w:bookmarkEnd w:id="0"/>
      <w:r w:rsidRPr="00754CF1">
        <w:rPr>
          <w:rFonts w:ascii="Georgia" w:hAnsi="Georgia" w:cs="Arial"/>
          <w:b/>
          <w:sz w:val="24"/>
          <w:szCs w:val="24"/>
        </w:rPr>
        <w:t xml:space="preserve">CCORDO DI COLLABORAZIONE </w:t>
      </w:r>
    </w:p>
    <w:p w:rsidR="00784984" w:rsidRPr="00754CF1" w:rsidRDefault="001B2E9D" w:rsidP="001B2E9D">
      <w:pPr>
        <w:contextualSpacing/>
        <w:jc w:val="center"/>
        <w:rPr>
          <w:rFonts w:ascii="Georgia" w:hAnsi="Georgia" w:cs="Arial"/>
          <w:b/>
          <w:sz w:val="24"/>
          <w:szCs w:val="24"/>
        </w:rPr>
      </w:pPr>
      <w:r w:rsidRPr="00754CF1">
        <w:rPr>
          <w:rFonts w:ascii="Georgia" w:hAnsi="Georgia" w:cs="Arial"/>
          <w:b/>
          <w:sz w:val="24"/>
          <w:szCs w:val="24"/>
        </w:rPr>
        <w:t>UNIONE INDUSTRIALI NAPOLI – CARIPARMA</w:t>
      </w:r>
    </w:p>
    <w:p w:rsidR="001B2E9D" w:rsidRPr="00754CF1" w:rsidRDefault="001B2E9D" w:rsidP="0006290B">
      <w:pPr>
        <w:jc w:val="right"/>
        <w:rPr>
          <w:rFonts w:ascii="Georgia" w:hAnsi="Georgia" w:cs="Arial"/>
          <w:sz w:val="24"/>
          <w:szCs w:val="24"/>
        </w:rPr>
      </w:pPr>
      <w:proofErr w:type="spellStart"/>
      <w:r w:rsidRPr="00754CF1">
        <w:rPr>
          <w:rFonts w:ascii="Georgia" w:hAnsi="Georgia" w:cs="Arial"/>
          <w:sz w:val="24"/>
          <w:szCs w:val="24"/>
        </w:rPr>
        <w:t>All</w:t>
      </w:r>
      <w:proofErr w:type="spellEnd"/>
      <w:r w:rsidRPr="00754CF1">
        <w:rPr>
          <w:rFonts w:ascii="Georgia" w:hAnsi="Georgia" w:cs="Arial"/>
          <w:sz w:val="24"/>
          <w:szCs w:val="24"/>
        </w:rPr>
        <w:t>. “A”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81D74" w:rsidRPr="00754CF1" w:rsidTr="001B2E9D">
        <w:tc>
          <w:tcPr>
            <w:tcW w:w="4889" w:type="dxa"/>
          </w:tcPr>
          <w:p w:rsidR="00281D74" w:rsidRPr="00754CF1" w:rsidRDefault="00281D74" w:rsidP="00281D74">
            <w:pPr>
              <w:jc w:val="center"/>
              <w:rPr>
                <w:rFonts w:ascii="Georgia" w:hAnsi="Georgia" w:cs="Arial"/>
                <w:color w:val="C0504D" w:themeColor="accen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C0504D" w:themeColor="accent2"/>
                <w:sz w:val="24"/>
                <w:szCs w:val="24"/>
              </w:rPr>
              <w:t>PRODOTTO</w:t>
            </w:r>
          </w:p>
        </w:tc>
        <w:tc>
          <w:tcPr>
            <w:tcW w:w="4889" w:type="dxa"/>
          </w:tcPr>
          <w:p w:rsidR="00281D74" w:rsidRPr="00754CF1" w:rsidRDefault="00281D74" w:rsidP="00281D74">
            <w:pPr>
              <w:jc w:val="center"/>
              <w:rPr>
                <w:rFonts w:ascii="Georgia" w:hAnsi="Georgia" w:cs="Arial"/>
                <w:color w:val="C0504D" w:themeColor="accen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C0504D" w:themeColor="accent2"/>
                <w:sz w:val="24"/>
                <w:szCs w:val="24"/>
              </w:rPr>
              <w:t>INVESTIMENTO FINANZIABILE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1B2E9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Apertura di credito in conto corrente</w:t>
            </w:r>
          </w:p>
        </w:tc>
        <w:tc>
          <w:tcPr>
            <w:tcW w:w="4889" w:type="dxa"/>
          </w:tcPr>
          <w:p w:rsidR="001B2E9D" w:rsidRPr="00754CF1" w:rsidRDefault="001B2E9D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Scoperto di conto per elasticità di cassa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1B2E9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Anticipo import</w:t>
            </w:r>
          </w:p>
        </w:tc>
        <w:tc>
          <w:tcPr>
            <w:tcW w:w="4889" w:type="dxa"/>
          </w:tcPr>
          <w:p w:rsidR="001B2E9D" w:rsidRPr="00754CF1" w:rsidRDefault="001B2E9D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Finanziamento finalizzato al pagamento di fornitori esteri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1B2E9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Anticipi al SBF</w:t>
            </w:r>
          </w:p>
        </w:tc>
        <w:tc>
          <w:tcPr>
            <w:tcW w:w="4889" w:type="dxa"/>
          </w:tcPr>
          <w:p w:rsidR="001B2E9D" w:rsidRPr="00754CF1" w:rsidRDefault="001B2E9D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Anticipi su RI.BA. con scadenza massima nei 120 gg.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1B2E9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Anticipo IVA</w:t>
            </w:r>
          </w:p>
        </w:tc>
        <w:tc>
          <w:tcPr>
            <w:tcW w:w="4889" w:type="dxa"/>
          </w:tcPr>
          <w:p w:rsidR="001B2E9D" w:rsidRPr="00754CF1" w:rsidRDefault="001B2E9D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Anticipo su rimborso IVA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1B2E9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Anticipo fatture</w:t>
            </w:r>
          </w:p>
        </w:tc>
        <w:tc>
          <w:tcPr>
            <w:tcW w:w="4889" w:type="dxa"/>
          </w:tcPr>
          <w:p w:rsidR="001B2E9D" w:rsidRPr="00754CF1" w:rsidRDefault="007679B7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Anticipi all’</w:t>
            </w:r>
            <w:r w:rsidR="001B2E9D" w:rsidRPr="00754CF1">
              <w:rPr>
                <w:rFonts w:ascii="Georgia" w:hAnsi="Georgia" w:cs="Arial"/>
                <w:sz w:val="24"/>
                <w:szCs w:val="24"/>
              </w:rPr>
              <w:t>80% su fatture, con scadenza massima del credito nei 120 gg.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1B2E9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Anticipo export</w:t>
            </w:r>
          </w:p>
        </w:tc>
        <w:tc>
          <w:tcPr>
            <w:tcW w:w="4889" w:type="dxa"/>
          </w:tcPr>
          <w:p w:rsidR="001B2E9D" w:rsidRPr="00754CF1" w:rsidRDefault="001B2E9D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Anticipi all’80% su crediti export, con scadenza massima del credito nei 120 gg.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4A5CB3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Anticipo contratti</w:t>
            </w:r>
          </w:p>
        </w:tc>
        <w:tc>
          <w:tcPr>
            <w:tcW w:w="4889" w:type="dxa"/>
          </w:tcPr>
          <w:p w:rsidR="001B2E9D" w:rsidRPr="00754CF1" w:rsidRDefault="004A5CB3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Anticipo al 50% su crediti giustificati da contratti, con scadenza massima del credito nei 180 gg.</w:t>
            </w:r>
          </w:p>
        </w:tc>
      </w:tr>
      <w:tr w:rsidR="001B2E9D" w:rsidRPr="00754CF1" w:rsidTr="001B2E9D">
        <w:tc>
          <w:tcPr>
            <w:tcW w:w="4889" w:type="dxa"/>
          </w:tcPr>
          <w:p w:rsidR="001B2E9D" w:rsidRPr="00754CF1" w:rsidRDefault="004A5CB3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Internazionalizzazione</w:t>
            </w:r>
          </w:p>
        </w:tc>
        <w:tc>
          <w:tcPr>
            <w:tcW w:w="4889" w:type="dxa"/>
          </w:tcPr>
          <w:p w:rsidR="004A5CB3" w:rsidRPr="00754CF1" w:rsidRDefault="004A5CB3" w:rsidP="00F309ED">
            <w:pPr>
              <w:pStyle w:val="Paragrafoelenco"/>
              <w:numPr>
                <w:ilvl w:val="0"/>
                <w:numId w:val="1"/>
              </w:numPr>
              <w:ind w:left="356" w:hanging="283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Partecipazione a fiere e mostre;</w:t>
            </w:r>
          </w:p>
          <w:p w:rsidR="004A5CB3" w:rsidRPr="00754CF1" w:rsidRDefault="004A5CB3" w:rsidP="00F309ED">
            <w:pPr>
              <w:pStyle w:val="Paragrafoelenco"/>
              <w:numPr>
                <w:ilvl w:val="0"/>
                <w:numId w:val="1"/>
              </w:numPr>
              <w:ind w:left="356" w:hanging="283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interventi di promozione e pubblicità;</w:t>
            </w:r>
          </w:p>
          <w:p w:rsidR="004A5CB3" w:rsidRPr="00754CF1" w:rsidRDefault="004A5CB3" w:rsidP="00F309ED">
            <w:pPr>
              <w:pStyle w:val="Paragrafoelenco"/>
              <w:numPr>
                <w:ilvl w:val="0"/>
                <w:numId w:val="1"/>
              </w:numPr>
              <w:ind w:left="356" w:hanging="283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consulenza per la realizzazione di studi di fattibilità finalizzati e successivi investimenti stabili; analisi di mercato;</w:t>
            </w:r>
          </w:p>
          <w:p w:rsidR="004A5CB3" w:rsidRPr="00754CF1" w:rsidRDefault="004A5CB3" w:rsidP="00F309ED">
            <w:pPr>
              <w:pStyle w:val="Paragrafoelenco"/>
              <w:numPr>
                <w:ilvl w:val="0"/>
                <w:numId w:val="1"/>
              </w:numPr>
              <w:ind w:left="356" w:hanging="283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traduzione e interpretariato e altre consulenze tecniche;</w:t>
            </w:r>
          </w:p>
          <w:p w:rsidR="004A5CB3" w:rsidRPr="00754CF1" w:rsidRDefault="004A5CB3" w:rsidP="00F309ED">
            <w:pPr>
              <w:pStyle w:val="Paragrafoelenco"/>
              <w:numPr>
                <w:ilvl w:val="0"/>
                <w:numId w:val="1"/>
              </w:numPr>
              <w:ind w:left="356" w:hanging="283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costi del personale</w:t>
            </w:r>
          </w:p>
        </w:tc>
      </w:tr>
      <w:tr w:rsidR="004A5CB3" w:rsidRPr="00754CF1" w:rsidTr="001B2E9D">
        <w:tc>
          <w:tcPr>
            <w:tcW w:w="4889" w:type="dxa"/>
          </w:tcPr>
          <w:p w:rsidR="004A5CB3" w:rsidRPr="00754CF1" w:rsidRDefault="00791923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Consolidamento di passività a breve</w:t>
            </w:r>
          </w:p>
        </w:tc>
        <w:tc>
          <w:tcPr>
            <w:tcW w:w="4889" w:type="dxa"/>
          </w:tcPr>
          <w:p w:rsidR="004A5CB3" w:rsidRPr="00754CF1" w:rsidRDefault="00791923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 xml:space="preserve">Riequilibrio della struttura patrimoniale dell’impresa attraverso lo spostamento a medio termine di passività a breve in essere presso </w:t>
            </w:r>
            <w:proofErr w:type="spellStart"/>
            <w:r w:rsidRPr="00754CF1">
              <w:rPr>
                <w:rFonts w:ascii="Georgia" w:hAnsi="Georgia" w:cs="Arial"/>
                <w:sz w:val="24"/>
                <w:szCs w:val="24"/>
              </w:rPr>
              <w:t>Cariparma</w:t>
            </w:r>
            <w:proofErr w:type="spellEnd"/>
          </w:p>
        </w:tc>
      </w:tr>
      <w:tr w:rsidR="004A5CB3" w:rsidRPr="00754CF1" w:rsidTr="001B2E9D">
        <w:tc>
          <w:tcPr>
            <w:tcW w:w="4889" w:type="dxa"/>
          </w:tcPr>
          <w:p w:rsidR="004A5CB3" w:rsidRPr="00754CF1" w:rsidRDefault="00AF41CC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Imposte – 13a e 14a</w:t>
            </w:r>
            <w:r w:rsidR="00791923"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 xml:space="preserve"> mensilità</w:t>
            </w:r>
          </w:p>
        </w:tc>
        <w:tc>
          <w:tcPr>
            <w:tcW w:w="4889" w:type="dxa"/>
          </w:tcPr>
          <w:p w:rsidR="004A5CB3" w:rsidRPr="00754CF1" w:rsidRDefault="00791923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Pagamento imposte e/o 13a e 14° mensilità</w:t>
            </w:r>
          </w:p>
        </w:tc>
      </w:tr>
      <w:tr w:rsidR="004A5CB3" w:rsidRPr="00754CF1" w:rsidTr="001B2E9D">
        <w:tc>
          <w:tcPr>
            <w:tcW w:w="4889" w:type="dxa"/>
          </w:tcPr>
          <w:p w:rsidR="004A5CB3" w:rsidRPr="00754CF1" w:rsidRDefault="00791923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a breve termine</w:t>
            </w:r>
          </w:p>
        </w:tc>
        <w:tc>
          <w:tcPr>
            <w:tcW w:w="4889" w:type="dxa"/>
          </w:tcPr>
          <w:p w:rsidR="004A5CB3" w:rsidRPr="00754CF1" w:rsidRDefault="00791923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Finanziamento a breve termine per liquidità aziendale</w:t>
            </w:r>
          </w:p>
        </w:tc>
      </w:tr>
      <w:tr w:rsidR="004A5CB3" w:rsidRPr="00754CF1" w:rsidTr="001B2E9D">
        <w:tc>
          <w:tcPr>
            <w:tcW w:w="4889" w:type="dxa"/>
          </w:tcPr>
          <w:p w:rsidR="004A5CB3" w:rsidRPr="00754CF1" w:rsidRDefault="00754CF1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s</w:t>
            </w:r>
            <w:r w:rsidR="00791923"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corte</w:t>
            </w:r>
          </w:p>
        </w:tc>
        <w:tc>
          <w:tcPr>
            <w:tcW w:w="4889" w:type="dxa"/>
          </w:tcPr>
          <w:p w:rsidR="004A5CB3" w:rsidRPr="00754CF1" w:rsidRDefault="00791923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Acquisto di materie prime e semilavorati</w:t>
            </w:r>
          </w:p>
        </w:tc>
      </w:tr>
      <w:tr w:rsidR="004A5CB3" w:rsidRPr="00754CF1" w:rsidTr="001B2E9D">
        <w:tc>
          <w:tcPr>
            <w:tcW w:w="4889" w:type="dxa"/>
          </w:tcPr>
          <w:p w:rsidR="004A5CB3" w:rsidRPr="00754CF1" w:rsidRDefault="001A50BF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“Innovazione”</w:t>
            </w:r>
          </w:p>
        </w:tc>
        <w:tc>
          <w:tcPr>
            <w:tcW w:w="4889" w:type="dxa"/>
          </w:tcPr>
          <w:p w:rsidR="004A5CB3" w:rsidRPr="00754CF1" w:rsidRDefault="001A50BF" w:rsidP="00F309ED">
            <w:pPr>
              <w:pStyle w:val="Paragrafoelenco"/>
              <w:numPr>
                <w:ilvl w:val="0"/>
                <w:numId w:val="2"/>
              </w:numPr>
              <w:tabs>
                <w:tab w:val="left" w:pos="356"/>
              </w:tabs>
              <w:ind w:left="73" w:firstLine="0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Innovazione strumentale di base:</w:t>
            </w:r>
          </w:p>
          <w:p w:rsidR="001A50BF" w:rsidRPr="00754CF1" w:rsidRDefault="001A50BF" w:rsidP="00F309ED">
            <w:pPr>
              <w:pStyle w:val="Paragrafoelenco"/>
              <w:ind w:left="356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hardware informatico, hardware per telecomunicazioni, software di base ed evoluti, investimenti in e-business, spese accessorie in campo ICT, etc.</w:t>
            </w:r>
          </w:p>
          <w:p w:rsidR="001A50BF" w:rsidRPr="00754CF1" w:rsidRDefault="001A50BF" w:rsidP="00F309ED">
            <w:pPr>
              <w:pStyle w:val="Paragrafoelenco"/>
              <w:numPr>
                <w:ilvl w:val="0"/>
                <w:numId w:val="2"/>
              </w:numPr>
              <w:tabs>
                <w:tab w:val="left" w:pos="356"/>
              </w:tabs>
              <w:ind w:left="356" w:hanging="283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Innovazione finale legata a specifici prodotti e processi:</w:t>
            </w:r>
          </w:p>
          <w:p w:rsidR="001A50BF" w:rsidRPr="00754CF1" w:rsidRDefault="001A50BF" w:rsidP="00F309ED">
            <w:pPr>
              <w:pStyle w:val="Paragrafoelenco"/>
              <w:ind w:left="356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progettazione e realizzazione di impianti pilota, innovazione di processi produttivi, acquisto di macchine o linee di produzione innovative, sistemi di controllo, innovazione di servizi, inserimento in azienda di nuove tecnologie, etc.</w:t>
            </w:r>
          </w:p>
        </w:tc>
      </w:tr>
      <w:tr w:rsidR="004A5CB3" w:rsidRPr="00754CF1" w:rsidTr="001B2E9D">
        <w:tc>
          <w:tcPr>
            <w:tcW w:w="4889" w:type="dxa"/>
          </w:tcPr>
          <w:p w:rsidR="004A5CB3" w:rsidRPr="00754CF1" w:rsidRDefault="00F309ED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 xml:space="preserve">Finanziamento </w:t>
            </w:r>
            <w:r w:rsid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</w:t>
            </w:r>
            <w:r w:rsidR="003C34BC"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otovoltaico</w:t>
            </w:r>
          </w:p>
        </w:tc>
        <w:tc>
          <w:tcPr>
            <w:tcW w:w="4889" w:type="dxa"/>
          </w:tcPr>
          <w:p w:rsidR="004A5CB3" w:rsidRPr="00754CF1" w:rsidRDefault="003C34BC" w:rsidP="00F309ED">
            <w:pPr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Costruzione, potenziamento e riattivazione di impianti per la produzione di energia da pannelli fotovoltaici</w:t>
            </w:r>
          </w:p>
        </w:tc>
      </w:tr>
      <w:tr w:rsidR="00430F60" w:rsidRPr="00754CF1" w:rsidTr="001B2E9D">
        <w:tc>
          <w:tcPr>
            <w:tcW w:w="4889" w:type="dxa"/>
          </w:tcPr>
          <w:p w:rsidR="00430F60" w:rsidRPr="00754CF1" w:rsidRDefault="00430F60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lastRenderedPageBreak/>
              <w:t>Finanziamento per le altre energie rinnovabili, assimilabili, spese R&amp;S</w:t>
            </w:r>
          </w:p>
        </w:tc>
        <w:tc>
          <w:tcPr>
            <w:tcW w:w="4889" w:type="dxa"/>
          </w:tcPr>
          <w:p w:rsidR="00430F60" w:rsidRPr="00754CF1" w:rsidRDefault="00430F60" w:rsidP="00D60869">
            <w:pPr>
              <w:pStyle w:val="Paragrafoelenco"/>
              <w:numPr>
                <w:ilvl w:val="0"/>
                <w:numId w:val="2"/>
              </w:numPr>
              <w:tabs>
                <w:tab w:val="left" w:pos="356"/>
              </w:tabs>
              <w:ind w:left="356" w:hanging="356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 xml:space="preserve">Costruzione, potenziamento e riattivazione di impianti per la produzione di energia fonti rinnovabili , escluso fotovoltaico (idroelettrico, eolico, biomasse, </w:t>
            </w:r>
            <w:proofErr w:type="spellStart"/>
            <w:r w:rsidRPr="00754CF1">
              <w:rPr>
                <w:rFonts w:ascii="Georgia" w:hAnsi="Georgia" w:cs="Arial"/>
                <w:sz w:val="24"/>
                <w:szCs w:val="24"/>
              </w:rPr>
              <w:t>etc</w:t>
            </w:r>
            <w:proofErr w:type="spellEnd"/>
            <w:r w:rsidRPr="00754CF1">
              <w:rPr>
                <w:rFonts w:ascii="Georgia" w:hAnsi="Georgia" w:cs="Arial"/>
                <w:sz w:val="24"/>
                <w:szCs w:val="24"/>
              </w:rPr>
              <w:t>,</w:t>
            </w:r>
          </w:p>
          <w:p w:rsidR="00430F60" w:rsidRPr="00754CF1" w:rsidRDefault="00430F60" w:rsidP="00D60869">
            <w:pPr>
              <w:pStyle w:val="Paragrafoelenco"/>
              <w:numPr>
                <w:ilvl w:val="0"/>
                <w:numId w:val="2"/>
              </w:numPr>
              <w:tabs>
                <w:tab w:val="left" w:pos="356"/>
              </w:tabs>
              <w:ind w:left="356" w:hanging="356"/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Spese R&amp;S per la produzione di energia con impianti di nuove tecnologie</w:t>
            </w:r>
          </w:p>
        </w:tc>
      </w:tr>
      <w:tr w:rsidR="00430F60" w:rsidRPr="00754CF1" w:rsidTr="001B2E9D">
        <w:tc>
          <w:tcPr>
            <w:tcW w:w="4889" w:type="dxa"/>
          </w:tcPr>
          <w:p w:rsidR="00430F60" w:rsidRPr="00754CF1" w:rsidRDefault="00430F60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Mutuo ipotecario</w:t>
            </w:r>
          </w:p>
        </w:tc>
        <w:tc>
          <w:tcPr>
            <w:tcW w:w="4889" w:type="dxa"/>
          </w:tcPr>
          <w:p w:rsidR="00430F60" w:rsidRPr="00754CF1" w:rsidRDefault="00430F60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Acquisto/ampliamento immobili</w:t>
            </w:r>
          </w:p>
        </w:tc>
      </w:tr>
      <w:tr w:rsidR="00430F60" w:rsidRPr="00754CF1" w:rsidTr="001B2E9D">
        <w:tc>
          <w:tcPr>
            <w:tcW w:w="4889" w:type="dxa"/>
          </w:tcPr>
          <w:p w:rsidR="00430F60" w:rsidRPr="00754CF1" w:rsidRDefault="00430F60" w:rsidP="00B6437A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Investimenti produttivi</w:t>
            </w:r>
          </w:p>
        </w:tc>
        <w:tc>
          <w:tcPr>
            <w:tcW w:w="4889" w:type="dxa"/>
          </w:tcPr>
          <w:p w:rsidR="00430F60" w:rsidRPr="00754CF1" w:rsidRDefault="00430F60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Investimenti generici legati all’attività produttiva</w:t>
            </w:r>
          </w:p>
        </w:tc>
      </w:tr>
      <w:tr w:rsidR="00AF41CC" w:rsidRPr="00754CF1" w:rsidTr="00AF41CC">
        <w:trPr>
          <w:trHeight w:val="240"/>
        </w:trPr>
        <w:tc>
          <w:tcPr>
            <w:tcW w:w="4889" w:type="dxa"/>
          </w:tcPr>
          <w:p w:rsidR="00AF41CC" w:rsidRPr="00754CF1" w:rsidRDefault="00AF41CC" w:rsidP="0047417B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Pacchetto Impresa Forte</w:t>
            </w:r>
          </w:p>
        </w:tc>
        <w:tc>
          <w:tcPr>
            <w:tcW w:w="4889" w:type="dxa"/>
            <w:vMerge w:val="restart"/>
          </w:tcPr>
          <w:p w:rsidR="00AF41CC" w:rsidRPr="00754CF1" w:rsidRDefault="00AF41CC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</w:p>
          <w:p w:rsidR="00AF41CC" w:rsidRPr="00754CF1" w:rsidRDefault="00AF41CC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Finanziamento destinato ai soci di società di capitali o di persone (PMI) finalizzato all’aumento di capitale della società.</w:t>
            </w:r>
          </w:p>
          <w:p w:rsidR="00AF41CC" w:rsidRPr="00754CF1" w:rsidRDefault="00AF41CC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 xml:space="preserve">Finanziamento rivolto solo a soci di imprese già affidate da </w:t>
            </w:r>
            <w:proofErr w:type="spellStart"/>
            <w:r w:rsidRPr="00754CF1">
              <w:rPr>
                <w:rFonts w:ascii="Georgia" w:hAnsi="Georgia" w:cs="Arial"/>
                <w:sz w:val="24"/>
                <w:szCs w:val="24"/>
              </w:rPr>
              <w:t>Cariparma</w:t>
            </w:r>
            <w:proofErr w:type="spellEnd"/>
            <w:r w:rsidRPr="00754CF1">
              <w:rPr>
                <w:rFonts w:ascii="Georgia" w:hAnsi="Georgia" w:cs="Arial"/>
                <w:sz w:val="24"/>
                <w:szCs w:val="24"/>
              </w:rPr>
              <w:t>.</w:t>
            </w:r>
          </w:p>
        </w:tc>
      </w:tr>
      <w:tr w:rsidR="00AF41CC" w:rsidRPr="00754CF1" w:rsidTr="001B2E9D">
        <w:trPr>
          <w:trHeight w:val="1095"/>
        </w:trPr>
        <w:tc>
          <w:tcPr>
            <w:tcW w:w="4889" w:type="dxa"/>
          </w:tcPr>
          <w:p w:rsidR="00AF41CC" w:rsidRPr="00754CF1" w:rsidRDefault="00AF41CC" w:rsidP="0047417B">
            <w:pPr>
              <w:jc w:val="center"/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</w:p>
          <w:p w:rsidR="00AF41CC" w:rsidRPr="00754CF1" w:rsidRDefault="00AF41CC" w:rsidP="00430F60">
            <w:pPr>
              <w:pStyle w:val="Paragrafoelenco"/>
              <w:numPr>
                <w:ilvl w:val="0"/>
                <w:numId w:val="3"/>
              </w:num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ai soci che intendono apportare nuovo capitale in azienda</w:t>
            </w:r>
          </w:p>
        </w:tc>
        <w:tc>
          <w:tcPr>
            <w:tcW w:w="4889" w:type="dxa"/>
            <w:vMerge/>
          </w:tcPr>
          <w:p w:rsidR="00AF41CC" w:rsidRPr="00754CF1" w:rsidRDefault="00AF41CC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412A93" w:rsidRPr="00754CF1" w:rsidTr="001B2E9D">
        <w:tc>
          <w:tcPr>
            <w:tcW w:w="4889" w:type="dxa"/>
          </w:tcPr>
          <w:p w:rsidR="0047417B" w:rsidRPr="00754CF1" w:rsidRDefault="0047417B" w:rsidP="0047417B">
            <w:pPr>
              <w:pStyle w:val="Paragrafoelenco"/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</w:p>
          <w:p w:rsidR="00412A93" w:rsidRPr="00754CF1" w:rsidRDefault="00412A93" w:rsidP="00412A93">
            <w:pPr>
              <w:pStyle w:val="Paragrafoelenco"/>
              <w:numPr>
                <w:ilvl w:val="0"/>
                <w:numId w:val="3"/>
              </w:num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alle imprese che hanno effettuato aumenti di capitale</w:t>
            </w:r>
          </w:p>
        </w:tc>
        <w:tc>
          <w:tcPr>
            <w:tcW w:w="4889" w:type="dxa"/>
          </w:tcPr>
          <w:p w:rsidR="00412A93" w:rsidRPr="00754CF1" w:rsidRDefault="00412A93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Intervento creditizio diretto a sostenere le PMI che hanno intrapreso processi di rafforzamento patrimoniale ed hanno a tal fine già deliberato ed effettuato aumenti del capitale sociale</w:t>
            </w:r>
          </w:p>
        </w:tc>
      </w:tr>
      <w:tr w:rsidR="00D24FF5" w:rsidRPr="00754CF1" w:rsidTr="001B2E9D">
        <w:tc>
          <w:tcPr>
            <w:tcW w:w="4889" w:type="dxa"/>
          </w:tcPr>
          <w:p w:rsidR="0047417B" w:rsidRPr="00754CF1" w:rsidRDefault="0047417B" w:rsidP="0047417B">
            <w:pPr>
              <w:pStyle w:val="Paragrafoelenco"/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</w:p>
          <w:p w:rsidR="00D24FF5" w:rsidRPr="00754CF1" w:rsidRDefault="00D24FF5" w:rsidP="00C579DD">
            <w:pPr>
              <w:pStyle w:val="Paragrafoelenco"/>
              <w:numPr>
                <w:ilvl w:val="0"/>
                <w:numId w:val="3"/>
              </w:num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alle imprese che hanno deliberato  aumenti di capitale</w:t>
            </w:r>
          </w:p>
        </w:tc>
        <w:tc>
          <w:tcPr>
            <w:tcW w:w="4889" w:type="dxa"/>
          </w:tcPr>
          <w:p w:rsidR="00D24FF5" w:rsidRPr="00754CF1" w:rsidRDefault="00D24FF5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Intervento creditizio diretto a sostenere le PMI che hanno intrapreso processi di rafforzamento patrimoniale ed hanno a tal fine già deliberato ma non ancora effettuato aumenti del capitale sociale</w:t>
            </w:r>
          </w:p>
        </w:tc>
      </w:tr>
      <w:tr w:rsidR="002916D6" w:rsidRPr="00754CF1" w:rsidTr="001B2E9D">
        <w:tc>
          <w:tcPr>
            <w:tcW w:w="4889" w:type="dxa"/>
          </w:tcPr>
          <w:p w:rsidR="002916D6" w:rsidRPr="00754CF1" w:rsidRDefault="002916D6" w:rsidP="00C579DD">
            <w:pPr>
              <w:rPr>
                <w:rFonts w:ascii="Georgia" w:hAnsi="Georgia" w:cs="Arial"/>
                <w:color w:val="1F497D" w:themeColor="text2"/>
                <w:sz w:val="24"/>
                <w:szCs w:val="24"/>
              </w:rPr>
            </w:pPr>
            <w:r w:rsidRPr="00754CF1">
              <w:rPr>
                <w:rFonts w:ascii="Georgia" w:hAnsi="Georgia" w:cs="Arial"/>
                <w:color w:val="1F497D" w:themeColor="text2"/>
                <w:sz w:val="24"/>
                <w:szCs w:val="24"/>
              </w:rPr>
              <w:t>Finanziamento Nuovi Mercati</w:t>
            </w:r>
          </w:p>
        </w:tc>
        <w:tc>
          <w:tcPr>
            <w:tcW w:w="4889" w:type="dxa"/>
          </w:tcPr>
          <w:p w:rsidR="002916D6" w:rsidRPr="00754CF1" w:rsidRDefault="002916D6" w:rsidP="00430F60">
            <w:pPr>
              <w:tabs>
                <w:tab w:val="left" w:pos="356"/>
              </w:tabs>
              <w:jc w:val="both"/>
              <w:rPr>
                <w:rFonts w:ascii="Georgia" w:hAnsi="Georgia" w:cs="Arial"/>
                <w:sz w:val="24"/>
                <w:szCs w:val="24"/>
              </w:rPr>
            </w:pPr>
            <w:r w:rsidRPr="00754CF1">
              <w:rPr>
                <w:rFonts w:ascii="Georgia" w:hAnsi="Georgia" w:cs="Arial"/>
                <w:sz w:val="24"/>
                <w:szCs w:val="24"/>
              </w:rPr>
              <w:t>Investimenti aziendali propedeutici all’internazionalizzazione della PMI che svolgono una rilevante attività con l’estero (rapporto tra fatturato export e fatturato complessivo superiore al 10%)</w:t>
            </w:r>
          </w:p>
        </w:tc>
      </w:tr>
    </w:tbl>
    <w:p w:rsidR="001B2E9D" w:rsidRPr="00754CF1" w:rsidRDefault="001B2E9D" w:rsidP="001B2E9D">
      <w:pPr>
        <w:jc w:val="center"/>
        <w:rPr>
          <w:rFonts w:ascii="Georgia" w:hAnsi="Georgia" w:cs="Arial"/>
          <w:sz w:val="24"/>
          <w:szCs w:val="24"/>
        </w:rPr>
      </w:pPr>
    </w:p>
    <w:sectPr w:rsidR="001B2E9D" w:rsidRPr="00754C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3D7"/>
    <w:multiLevelType w:val="hybridMultilevel"/>
    <w:tmpl w:val="4A5C1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E6275"/>
    <w:multiLevelType w:val="hybridMultilevel"/>
    <w:tmpl w:val="8A625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764BD"/>
    <w:multiLevelType w:val="hybridMultilevel"/>
    <w:tmpl w:val="0C684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D"/>
    <w:rsid w:val="0006290B"/>
    <w:rsid w:val="001A50BF"/>
    <w:rsid w:val="001B2E9D"/>
    <w:rsid w:val="00281D74"/>
    <w:rsid w:val="002916D6"/>
    <w:rsid w:val="003C34BC"/>
    <w:rsid w:val="00412A93"/>
    <w:rsid w:val="00430F60"/>
    <w:rsid w:val="0047417B"/>
    <w:rsid w:val="004A5CB3"/>
    <w:rsid w:val="00754CF1"/>
    <w:rsid w:val="007679B7"/>
    <w:rsid w:val="00784984"/>
    <w:rsid w:val="00791923"/>
    <w:rsid w:val="00AF41CC"/>
    <w:rsid w:val="00B6437A"/>
    <w:rsid w:val="00D24FF5"/>
    <w:rsid w:val="00D60869"/>
    <w:rsid w:val="00DE019A"/>
    <w:rsid w:val="00F3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5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7D67-A5CF-4F83-99E6-BEC8DB5D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Monte Casoni Paolo</dc:creator>
  <cp:lastModifiedBy>Dal Monte Casoni Paolo</cp:lastModifiedBy>
  <cp:revision>23</cp:revision>
  <dcterms:created xsi:type="dcterms:W3CDTF">2015-09-08T08:55:00Z</dcterms:created>
  <dcterms:modified xsi:type="dcterms:W3CDTF">2015-09-09T14:31:00Z</dcterms:modified>
</cp:coreProperties>
</file>