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FA4" w:rsidRPr="007B1FA4" w:rsidRDefault="007B1FA4" w:rsidP="007B1FA4">
      <w:pPr>
        <w:spacing w:before="150" w:after="150" w:line="255" w:lineRule="atLeast"/>
        <w:outlineLvl w:val="2"/>
        <w:rPr>
          <w:rFonts w:ascii="Arial" w:eastAsia="Times New Roman" w:hAnsi="Arial" w:cs="Arial"/>
          <w:b/>
          <w:bCs/>
          <w:color w:val="2A2A2A"/>
          <w:sz w:val="24"/>
          <w:szCs w:val="24"/>
          <w:lang w:val="en-US" w:eastAsia="it-IT"/>
        </w:rPr>
      </w:pPr>
      <w:r w:rsidRPr="007B1FA4">
        <w:rPr>
          <w:rFonts w:ascii="Arial" w:eastAsia="Times New Roman" w:hAnsi="Arial" w:cs="Arial"/>
          <w:b/>
          <w:bCs/>
          <w:color w:val="2A2A2A"/>
          <w:sz w:val="24"/>
          <w:szCs w:val="24"/>
          <w:lang w:val="en-US" w:eastAsia="it-IT"/>
        </w:rPr>
        <w:t>Guidance Related to Humanitarian Assistance with Regard to the Coronavirus Disease 2019 (COVID-19) outbreak in Iran.</w:t>
      </w:r>
    </w:p>
    <w:p w:rsidR="007B1FA4" w:rsidRPr="007B1FA4" w:rsidRDefault="007B1FA4" w:rsidP="007B1FA4">
      <w:pPr>
        <w:spacing w:before="100" w:beforeAutospacing="1" w:after="150" w:line="255" w:lineRule="atLeast"/>
        <w:rPr>
          <w:rFonts w:ascii="Arial" w:eastAsia="Times New Roman" w:hAnsi="Arial" w:cs="Arial"/>
          <w:color w:val="2A2A2A"/>
          <w:sz w:val="18"/>
          <w:szCs w:val="18"/>
          <w:lang w:val="en-US" w:eastAsia="it-IT"/>
        </w:rPr>
      </w:pPr>
      <w:r w:rsidRPr="007B1FA4">
        <w:rPr>
          <w:rFonts w:ascii="Arial" w:eastAsia="Times New Roman" w:hAnsi="Arial" w:cs="Arial"/>
          <w:b/>
          <w:bCs/>
          <w:color w:val="2A2A2A"/>
          <w:sz w:val="18"/>
          <w:szCs w:val="18"/>
          <w:lang w:val="en-US" w:eastAsia="it-IT"/>
        </w:rPr>
        <w:t xml:space="preserve">828. I want to help with the humanitarian response to the Coronavirus Disease 2019 (COVID-19) outbreak in Iran. What can I do to help while remaining compliant with U.S. sanctions? </w:t>
      </w:r>
    </w:p>
    <w:p w:rsidR="007B1FA4" w:rsidRPr="007B1FA4" w:rsidRDefault="007B1FA4" w:rsidP="007B1FA4">
      <w:pPr>
        <w:spacing w:before="100" w:beforeAutospacing="1" w:after="150" w:line="255" w:lineRule="atLeast"/>
        <w:rPr>
          <w:rFonts w:ascii="Arial" w:eastAsia="Times New Roman" w:hAnsi="Arial" w:cs="Arial"/>
          <w:color w:val="2A2A2A"/>
          <w:sz w:val="18"/>
          <w:szCs w:val="18"/>
          <w:lang w:val="en-US" w:eastAsia="it-IT"/>
        </w:rPr>
      </w:pPr>
      <w:r w:rsidRPr="007B1FA4">
        <w:rPr>
          <w:rFonts w:ascii="Arial" w:eastAsia="Times New Roman" w:hAnsi="Arial" w:cs="Arial"/>
          <w:color w:val="2A2A2A"/>
          <w:sz w:val="18"/>
          <w:szCs w:val="18"/>
          <w:lang w:val="en-US" w:eastAsia="it-IT"/>
        </w:rPr>
        <w:t>There are a number of ways to provide humanitarian goods or assistance to the Iranian people in response to the COVID-19 outbreak in Iran, consistent with U.S. sanctions.</w:t>
      </w:r>
    </w:p>
    <w:p w:rsidR="007B1FA4" w:rsidRPr="007B1FA4" w:rsidRDefault="007B1FA4" w:rsidP="007B1FA4">
      <w:pPr>
        <w:spacing w:before="100" w:beforeAutospacing="1" w:after="150" w:line="255" w:lineRule="atLeast"/>
        <w:rPr>
          <w:rFonts w:ascii="Arial" w:eastAsia="Times New Roman" w:hAnsi="Arial" w:cs="Arial"/>
          <w:color w:val="2A2A2A"/>
          <w:sz w:val="18"/>
          <w:szCs w:val="18"/>
          <w:lang w:val="en-US" w:eastAsia="it-IT"/>
        </w:rPr>
      </w:pPr>
      <w:r w:rsidRPr="007B1FA4">
        <w:rPr>
          <w:rFonts w:ascii="Arial" w:eastAsia="Times New Roman" w:hAnsi="Arial" w:cs="Arial"/>
          <w:color w:val="2A2A2A"/>
          <w:sz w:val="18"/>
          <w:szCs w:val="18"/>
          <w:lang w:val="en-US" w:eastAsia="it-IT"/>
        </w:rPr>
        <w:t>The making of humanitarian donations to recipients in Iran from the United States or by U.S. persons, including the donation of medicine intended to relieve human suffering, are generally exempt from U.S. sanctions on Iran under section 560.210(b) of the Iranian Transactions and Sanctions Regulations, 31 CFR Part 560 (ITSR), provided that such donations are not being made to the Government of Iran or other persons blocked pursuant to section 560.211 of the ITSR, or to any individual or entity listed on OFAC’s list of Specially Designated Nationals and Blocked Persons (SDN List).</w:t>
      </w:r>
    </w:p>
    <w:p w:rsidR="007B1FA4" w:rsidRPr="007B1FA4" w:rsidRDefault="007B1FA4" w:rsidP="007B1FA4">
      <w:pPr>
        <w:spacing w:before="100" w:beforeAutospacing="1" w:after="150" w:line="255" w:lineRule="atLeast"/>
        <w:rPr>
          <w:rFonts w:ascii="Arial" w:eastAsia="Times New Roman" w:hAnsi="Arial" w:cs="Arial"/>
          <w:color w:val="2A2A2A"/>
          <w:sz w:val="18"/>
          <w:szCs w:val="18"/>
          <w:lang w:val="en-US" w:eastAsia="it-IT"/>
        </w:rPr>
      </w:pPr>
      <w:r w:rsidRPr="007B1FA4">
        <w:rPr>
          <w:rFonts w:ascii="Arial" w:eastAsia="Times New Roman" w:hAnsi="Arial" w:cs="Arial"/>
          <w:color w:val="2A2A2A"/>
          <w:sz w:val="18"/>
          <w:szCs w:val="18"/>
          <w:lang w:val="en-US" w:eastAsia="it-IT"/>
        </w:rPr>
        <w:t xml:space="preserve">In addition, the United States maintains broad exceptions and authorizations that allow for the commercial sale and export of humanitarian goods, including medicine and medical devices, to Iran or the Government of Iran from the United States or by U.S. persons or U.S.-owned or -controlled foreign entities, subject to certain conditions. U.S. sanctions laws provide similar allowances for sales of humanitarian goods, including medicine and medical devices, to Iran by non-U.S. persons. These exemptions, exceptions, and authorizations generally do not apply to transactions involving persons on OFAC’s SDN List that have been designated in connection with Iran’s support for international terrorism or proliferation of weapons of mass destruction, including the Islamic Revolutionary Guard Corps (IRGC). For humanitarian transactions involving the Central Bank of Iran, which was designated as a Specially Designated Global Terrorist pursuant to Executive Order 13224 as amended, please see </w:t>
      </w:r>
      <w:hyperlink r:id="rId5" w:tgtFrame="_blank" w:history="1">
        <w:r w:rsidRPr="007B1FA4">
          <w:rPr>
            <w:rFonts w:ascii="Arial" w:eastAsia="Times New Roman" w:hAnsi="Arial" w:cs="Arial"/>
            <w:color w:val="045D9D"/>
            <w:sz w:val="18"/>
            <w:szCs w:val="18"/>
            <w:lang w:val="en-US" w:eastAsia="it-IT"/>
          </w:rPr>
          <w:t>General License 8</w:t>
        </w:r>
      </w:hyperlink>
      <w:r w:rsidRPr="007B1FA4">
        <w:rPr>
          <w:rFonts w:ascii="Arial" w:eastAsia="Times New Roman" w:hAnsi="Arial" w:cs="Arial"/>
          <w:color w:val="2A2A2A"/>
          <w:sz w:val="18"/>
          <w:szCs w:val="18"/>
          <w:lang w:val="en-US" w:eastAsia="it-IT"/>
        </w:rPr>
        <w:t xml:space="preserve"> issued pursuant to the Global Terrorism Sanctions Regulations (GTSR) and the ITSR, as well as OFAC Frequently Asked Questions (FAQs) </w:t>
      </w:r>
      <w:hyperlink r:id="rId6" w:anchor="821" w:tgtFrame="_blank" w:history="1">
        <w:r w:rsidRPr="007B1FA4">
          <w:rPr>
            <w:rFonts w:ascii="Arial" w:eastAsia="Times New Roman" w:hAnsi="Arial" w:cs="Arial"/>
            <w:color w:val="045D9D"/>
            <w:sz w:val="18"/>
            <w:szCs w:val="18"/>
            <w:lang w:val="en-US" w:eastAsia="it-IT"/>
          </w:rPr>
          <w:t>821</w:t>
        </w:r>
      </w:hyperlink>
      <w:r w:rsidRPr="007B1FA4">
        <w:rPr>
          <w:rFonts w:ascii="Arial" w:eastAsia="Times New Roman" w:hAnsi="Arial" w:cs="Arial"/>
          <w:color w:val="2A2A2A"/>
          <w:sz w:val="18"/>
          <w:szCs w:val="18"/>
          <w:lang w:val="en-US" w:eastAsia="it-IT"/>
        </w:rPr>
        <w:t xml:space="preserve">, </w:t>
      </w:r>
      <w:hyperlink r:id="rId7" w:anchor="822" w:tgtFrame="_blank" w:history="1">
        <w:r w:rsidRPr="007B1FA4">
          <w:rPr>
            <w:rFonts w:ascii="Arial" w:eastAsia="Times New Roman" w:hAnsi="Arial" w:cs="Arial"/>
            <w:color w:val="045D9D"/>
            <w:sz w:val="18"/>
            <w:szCs w:val="18"/>
            <w:lang w:val="en-US" w:eastAsia="it-IT"/>
          </w:rPr>
          <w:t>822</w:t>
        </w:r>
      </w:hyperlink>
      <w:r w:rsidRPr="007B1FA4">
        <w:rPr>
          <w:rFonts w:ascii="Arial" w:eastAsia="Times New Roman" w:hAnsi="Arial" w:cs="Arial"/>
          <w:color w:val="2A2A2A"/>
          <w:sz w:val="18"/>
          <w:szCs w:val="18"/>
          <w:lang w:val="en-US" w:eastAsia="it-IT"/>
        </w:rPr>
        <w:t xml:space="preserve">, and </w:t>
      </w:r>
      <w:hyperlink r:id="rId8" w:anchor="823" w:tgtFrame="_blank" w:history="1">
        <w:r w:rsidRPr="007B1FA4">
          <w:rPr>
            <w:rFonts w:ascii="Arial" w:eastAsia="Times New Roman" w:hAnsi="Arial" w:cs="Arial"/>
            <w:color w:val="045D9D"/>
            <w:sz w:val="18"/>
            <w:szCs w:val="18"/>
            <w:lang w:val="en-US" w:eastAsia="it-IT"/>
          </w:rPr>
          <w:t>823</w:t>
        </w:r>
      </w:hyperlink>
      <w:r w:rsidRPr="007B1FA4">
        <w:rPr>
          <w:rFonts w:ascii="Arial" w:eastAsia="Times New Roman" w:hAnsi="Arial" w:cs="Arial"/>
          <w:color w:val="2A2A2A"/>
          <w:sz w:val="18"/>
          <w:szCs w:val="18"/>
          <w:lang w:val="en-US" w:eastAsia="it-IT"/>
        </w:rPr>
        <w:t>.</w:t>
      </w:r>
    </w:p>
    <w:p w:rsidR="007B1FA4" w:rsidRPr="007B1FA4" w:rsidRDefault="007B1FA4" w:rsidP="007B1FA4">
      <w:pPr>
        <w:spacing w:before="100" w:beforeAutospacing="1" w:after="150" w:line="255" w:lineRule="atLeast"/>
        <w:rPr>
          <w:rFonts w:ascii="Arial" w:eastAsia="Times New Roman" w:hAnsi="Arial" w:cs="Arial"/>
          <w:color w:val="2A2A2A"/>
          <w:sz w:val="18"/>
          <w:szCs w:val="18"/>
          <w:lang w:val="en-US" w:eastAsia="it-IT"/>
        </w:rPr>
      </w:pPr>
      <w:r w:rsidRPr="007B1FA4">
        <w:rPr>
          <w:rFonts w:ascii="Arial" w:eastAsia="Times New Roman" w:hAnsi="Arial" w:cs="Arial"/>
          <w:color w:val="2A2A2A"/>
          <w:sz w:val="18"/>
          <w:szCs w:val="18"/>
          <w:lang w:val="en-US" w:eastAsia="it-IT"/>
        </w:rPr>
        <w:t>Furthermore, nongovernmental organizations (NGOs) are authorized under General License E to export or re-export services to or related to Iran in support of certain not-for-profit activities designed to directly benefit the Iranian people, including the provision of donated health-related services and distribution of donated articles such as medicine intended to be used to relieve human suffering, in Iran.</w:t>
      </w:r>
    </w:p>
    <w:p w:rsidR="007B1FA4" w:rsidRPr="007B1FA4" w:rsidRDefault="007B1FA4" w:rsidP="007B1FA4">
      <w:pPr>
        <w:spacing w:before="100" w:beforeAutospacing="1" w:after="150" w:line="255" w:lineRule="atLeast"/>
        <w:rPr>
          <w:rFonts w:ascii="Arial" w:eastAsia="Times New Roman" w:hAnsi="Arial" w:cs="Arial"/>
          <w:color w:val="2A2A2A"/>
          <w:sz w:val="18"/>
          <w:szCs w:val="18"/>
          <w:lang w:val="en-US" w:eastAsia="it-IT"/>
        </w:rPr>
      </w:pPr>
      <w:r w:rsidRPr="007B1FA4">
        <w:rPr>
          <w:rFonts w:ascii="Arial" w:eastAsia="Times New Roman" w:hAnsi="Arial" w:cs="Arial"/>
          <w:color w:val="2A2A2A"/>
          <w:sz w:val="18"/>
          <w:szCs w:val="18"/>
          <w:lang w:val="en-US" w:eastAsia="it-IT"/>
        </w:rPr>
        <w:t>Persons interested in providing humanitarian assistance to Iran related to the COVID-19 outbreak should review sections 560.210(b), 560.530, 560.532, and 560.533 and</w:t>
      </w:r>
      <w:hyperlink r:id="rId9" w:tgtFrame="_blank" w:history="1">
        <w:r w:rsidRPr="007B1FA4">
          <w:rPr>
            <w:rFonts w:ascii="Arial" w:eastAsia="Times New Roman" w:hAnsi="Arial" w:cs="Arial"/>
            <w:color w:val="045D9D"/>
            <w:sz w:val="18"/>
            <w:szCs w:val="18"/>
            <w:lang w:val="en-US" w:eastAsia="it-IT"/>
          </w:rPr>
          <w:t xml:space="preserve"> General License E</w:t>
        </w:r>
      </w:hyperlink>
      <w:r w:rsidRPr="007B1FA4">
        <w:rPr>
          <w:rFonts w:ascii="Arial" w:eastAsia="Times New Roman" w:hAnsi="Arial" w:cs="Arial"/>
          <w:color w:val="2A2A2A"/>
          <w:sz w:val="18"/>
          <w:szCs w:val="18"/>
          <w:lang w:val="en-US" w:eastAsia="it-IT"/>
        </w:rPr>
        <w:t xml:space="preserve"> of the ITSR and General License 8 issued pursuant to the GTSR and the ITSR, the guidance provided in FAQs </w:t>
      </w:r>
      <w:hyperlink r:id="rId10" w:anchor="549" w:tgtFrame="_blank" w:history="1">
        <w:r w:rsidRPr="007B1FA4">
          <w:rPr>
            <w:rFonts w:ascii="Arial" w:eastAsia="Times New Roman" w:hAnsi="Arial" w:cs="Arial"/>
            <w:color w:val="045D9D"/>
            <w:sz w:val="18"/>
            <w:szCs w:val="18"/>
            <w:lang w:val="en-US" w:eastAsia="it-IT"/>
          </w:rPr>
          <w:t>549</w:t>
        </w:r>
      </w:hyperlink>
      <w:r w:rsidRPr="007B1FA4">
        <w:rPr>
          <w:rFonts w:ascii="Arial" w:eastAsia="Times New Roman" w:hAnsi="Arial" w:cs="Arial"/>
          <w:color w:val="2A2A2A"/>
          <w:sz w:val="18"/>
          <w:szCs w:val="18"/>
          <w:lang w:val="en-US" w:eastAsia="it-IT"/>
        </w:rPr>
        <w:t xml:space="preserve">, </w:t>
      </w:r>
      <w:hyperlink r:id="rId11" w:anchor="637" w:tgtFrame="_blank" w:history="1">
        <w:r w:rsidRPr="007B1FA4">
          <w:rPr>
            <w:rFonts w:ascii="Arial" w:eastAsia="Times New Roman" w:hAnsi="Arial" w:cs="Arial"/>
            <w:color w:val="045D9D"/>
            <w:sz w:val="18"/>
            <w:szCs w:val="18"/>
            <w:lang w:val="en-US" w:eastAsia="it-IT"/>
          </w:rPr>
          <w:t>637</w:t>
        </w:r>
      </w:hyperlink>
      <w:r w:rsidRPr="007B1FA4">
        <w:rPr>
          <w:rFonts w:ascii="Arial" w:eastAsia="Times New Roman" w:hAnsi="Arial" w:cs="Arial"/>
          <w:color w:val="2A2A2A"/>
          <w:sz w:val="18"/>
          <w:szCs w:val="18"/>
          <w:lang w:val="en-US" w:eastAsia="it-IT"/>
        </w:rPr>
        <w:t xml:space="preserve">, </w:t>
      </w:r>
      <w:hyperlink r:id="rId12" w:anchor="821" w:tgtFrame="_blank" w:history="1">
        <w:r w:rsidRPr="007B1FA4">
          <w:rPr>
            <w:rFonts w:ascii="Arial" w:eastAsia="Times New Roman" w:hAnsi="Arial" w:cs="Arial"/>
            <w:color w:val="045D9D"/>
            <w:sz w:val="18"/>
            <w:szCs w:val="18"/>
            <w:lang w:val="en-US" w:eastAsia="it-IT"/>
          </w:rPr>
          <w:t>821</w:t>
        </w:r>
      </w:hyperlink>
      <w:r w:rsidRPr="007B1FA4">
        <w:rPr>
          <w:rFonts w:ascii="Arial" w:eastAsia="Times New Roman" w:hAnsi="Arial" w:cs="Arial"/>
          <w:color w:val="2A2A2A"/>
          <w:sz w:val="18"/>
          <w:szCs w:val="18"/>
          <w:lang w:val="en-US" w:eastAsia="it-IT"/>
        </w:rPr>
        <w:t xml:space="preserve">, </w:t>
      </w:r>
      <w:hyperlink r:id="rId13" w:anchor="822" w:tgtFrame="_blank" w:history="1">
        <w:r w:rsidRPr="007B1FA4">
          <w:rPr>
            <w:rFonts w:ascii="Arial" w:eastAsia="Times New Roman" w:hAnsi="Arial" w:cs="Arial"/>
            <w:color w:val="045D9D"/>
            <w:sz w:val="18"/>
            <w:szCs w:val="18"/>
            <w:lang w:val="en-US" w:eastAsia="it-IT"/>
          </w:rPr>
          <w:t>822</w:t>
        </w:r>
      </w:hyperlink>
      <w:r w:rsidRPr="007B1FA4">
        <w:rPr>
          <w:rFonts w:ascii="Arial" w:eastAsia="Times New Roman" w:hAnsi="Arial" w:cs="Arial"/>
          <w:color w:val="2A2A2A"/>
          <w:sz w:val="18"/>
          <w:szCs w:val="18"/>
          <w:lang w:val="en-US" w:eastAsia="it-IT"/>
        </w:rPr>
        <w:t xml:space="preserve">, </w:t>
      </w:r>
      <w:hyperlink r:id="rId14" w:anchor="823" w:tgtFrame="_blank" w:history="1">
        <w:r w:rsidRPr="007B1FA4">
          <w:rPr>
            <w:rFonts w:ascii="Arial" w:eastAsia="Times New Roman" w:hAnsi="Arial" w:cs="Arial"/>
            <w:color w:val="045D9D"/>
            <w:sz w:val="18"/>
            <w:szCs w:val="18"/>
            <w:lang w:val="en-US" w:eastAsia="it-IT"/>
          </w:rPr>
          <w:t>823</w:t>
        </w:r>
      </w:hyperlink>
      <w:r w:rsidRPr="007B1FA4">
        <w:rPr>
          <w:rFonts w:ascii="Arial" w:eastAsia="Times New Roman" w:hAnsi="Arial" w:cs="Arial"/>
          <w:color w:val="2A2A2A"/>
          <w:sz w:val="18"/>
          <w:szCs w:val="18"/>
          <w:lang w:val="en-US" w:eastAsia="it-IT"/>
        </w:rPr>
        <w:t xml:space="preserve">, and </w:t>
      </w:r>
      <w:hyperlink r:id="rId15" w:anchor="826" w:tgtFrame="_blank" w:history="1">
        <w:r w:rsidRPr="007B1FA4">
          <w:rPr>
            <w:rFonts w:ascii="Arial" w:eastAsia="Times New Roman" w:hAnsi="Arial" w:cs="Arial"/>
            <w:color w:val="045D9D"/>
            <w:sz w:val="18"/>
            <w:szCs w:val="18"/>
            <w:lang w:val="en-US" w:eastAsia="it-IT"/>
          </w:rPr>
          <w:t>826​</w:t>
        </w:r>
      </w:hyperlink>
      <w:r w:rsidRPr="007B1FA4">
        <w:rPr>
          <w:rFonts w:ascii="Arial" w:eastAsia="Times New Roman" w:hAnsi="Arial" w:cs="Arial"/>
          <w:color w:val="2A2A2A"/>
          <w:sz w:val="18"/>
          <w:szCs w:val="18"/>
          <w:lang w:val="en-US" w:eastAsia="it-IT"/>
        </w:rPr>
        <w:t xml:space="preserve">, and the guidance provided in </w:t>
      </w:r>
      <w:hyperlink r:id="rId16" w:tgtFrame="_blank" w:history="1">
        <w:r w:rsidRPr="007B1FA4">
          <w:rPr>
            <w:rFonts w:ascii="Arial" w:eastAsia="Times New Roman" w:hAnsi="Arial" w:cs="Arial"/>
            <w:color w:val="045D9D"/>
            <w:sz w:val="18"/>
            <w:szCs w:val="18"/>
            <w:lang w:val="en-US" w:eastAsia="it-IT"/>
          </w:rPr>
          <w:t>“Guidance on the Sale of Food, Agricultural Commodities, Medicine, and Medical Devices by Non-U.S. Persons to Iran”</w:t>
        </w:r>
      </w:hyperlink>
      <w:r w:rsidRPr="007B1FA4">
        <w:rPr>
          <w:rFonts w:ascii="Arial" w:eastAsia="Times New Roman" w:hAnsi="Arial" w:cs="Arial"/>
          <w:color w:val="2A2A2A"/>
          <w:sz w:val="18"/>
          <w:szCs w:val="18"/>
          <w:lang w:val="en-US" w:eastAsia="it-IT"/>
        </w:rPr>
        <w:t xml:space="preserve"> and</w:t>
      </w:r>
      <w:hyperlink r:id="rId17" w:tgtFrame="_blank" w:history="1">
        <w:r w:rsidRPr="007B1FA4">
          <w:rPr>
            <w:rFonts w:ascii="Arial" w:eastAsia="Times New Roman" w:hAnsi="Arial" w:cs="Arial"/>
            <w:color w:val="045D9D"/>
            <w:sz w:val="18"/>
            <w:szCs w:val="18"/>
            <w:lang w:val="en-US" w:eastAsia="it-IT"/>
          </w:rPr>
          <w:t xml:space="preserve"> “Clarifying Guidance on Humanitarian Assistance and Related Exports to the Iranian People.”</w:t>
        </w:r>
      </w:hyperlink>
      <w:r w:rsidRPr="007B1FA4">
        <w:rPr>
          <w:rFonts w:ascii="Arial" w:eastAsia="Times New Roman" w:hAnsi="Arial" w:cs="Arial"/>
          <w:color w:val="2A2A2A"/>
          <w:sz w:val="18"/>
          <w:szCs w:val="18"/>
          <w:lang w:val="en-US" w:eastAsia="it-IT"/>
        </w:rPr>
        <w:t xml:space="preserve"> Other types of humanitarian activities or exports by U.S. persons may be authorized pursuant to a specific license from OFAC.</w:t>
      </w:r>
    </w:p>
    <w:p w:rsidR="007B1FA4" w:rsidRPr="007B1FA4" w:rsidRDefault="007B1FA4" w:rsidP="007B1FA4">
      <w:pPr>
        <w:spacing w:before="100" w:beforeAutospacing="1" w:after="150" w:line="255" w:lineRule="atLeast"/>
        <w:rPr>
          <w:rFonts w:ascii="Arial" w:eastAsia="Times New Roman" w:hAnsi="Arial" w:cs="Arial"/>
          <w:color w:val="2A2A2A"/>
          <w:sz w:val="18"/>
          <w:szCs w:val="18"/>
          <w:lang w:val="en-US" w:eastAsia="it-IT"/>
        </w:rPr>
      </w:pPr>
      <w:r w:rsidRPr="007B1FA4">
        <w:rPr>
          <w:rFonts w:ascii="Arial" w:eastAsia="Times New Roman" w:hAnsi="Arial" w:cs="Arial"/>
          <w:color w:val="2A2A2A"/>
          <w:sz w:val="18"/>
          <w:szCs w:val="18"/>
          <w:lang w:val="en-US" w:eastAsia="it-IT"/>
        </w:rPr>
        <w:t>Please note any transfers of funds in support of activities authorized by General License E must be made by the NGOs themselves, and not directly by U.S. individuals, in accordance with the conditions of General License E. [03-06-2020]</w:t>
      </w:r>
    </w:p>
    <w:p w:rsidR="0015690C" w:rsidRPr="007B1FA4" w:rsidRDefault="0015690C">
      <w:pPr>
        <w:rPr>
          <w:lang w:val="en-US"/>
        </w:rPr>
      </w:pPr>
      <w:bookmarkStart w:id="0" w:name="_GoBack"/>
      <w:bookmarkEnd w:id="0"/>
    </w:p>
    <w:sectPr w:rsidR="0015690C" w:rsidRPr="007B1F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FA4"/>
    <w:rsid w:val="0015690C"/>
    <w:rsid w:val="007B1F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235934">
      <w:bodyDiv w:val="1"/>
      <w:marLeft w:val="0"/>
      <w:marRight w:val="0"/>
      <w:marTop w:val="0"/>
      <w:marBottom w:val="0"/>
      <w:divBdr>
        <w:top w:val="none" w:sz="0" w:space="0" w:color="auto"/>
        <w:left w:val="none" w:sz="0" w:space="0" w:color="auto"/>
        <w:bottom w:val="none" w:sz="0" w:space="0" w:color="auto"/>
        <w:right w:val="none" w:sz="0" w:space="0" w:color="auto"/>
      </w:divBdr>
      <w:divsChild>
        <w:div w:id="1157771326">
          <w:marLeft w:val="0"/>
          <w:marRight w:val="0"/>
          <w:marTop w:val="0"/>
          <w:marBottom w:val="0"/>
          <w:divBdr>
            <w:top w:val="none" w:sz="0" w:space="0" w:color="auto"/>
            <w:left w:val="none" w:sz="0" w:space="0" w:color="auto"/>
            <w:bottom w:val="none" w:sz="0" w:space="0" w:color="auto"/>
            <w:right w:val="none" w:sz="0" w:space="0" w:color="auto"/>
          </w:divBdr>
          <w:divsChild>
            <w:div w:id="162665465">
              <w:marLeft w:val="0"/>
              <w:marRight w:val="0"/>
              <w:marTop w:val="0"/>
              <w:marBottom w:val="0"/>
              <w:divBdr>
                <w:top w:val="none" w:sz="0" w:space="0" w:color="auto"/>
                <w:left w:val="none" w:sz="0" w:space="0" w:color="auto"/>
                <w:bottom w:val="none" w:sz="0" w:space="0" w:color="auto"/>
                <w:right w:val="none" w:sz="0" w:space="0" w:color="auto"/>
              </w:divBdr>
              <w:divsChild>
                <w:div w:id="2026588142">
                  <w:marLeft w:val="0"/>
                  <w:marRight w:val="0"/>
                  <w:marTop w:val="0"/>
                  <w:marBottom w:val="0"/>
                  <w:divBdr>
                    <w:top w:val="none" w:sz="0" w:space="0" w:color="auto"/>
                    <w:left w:val="none" w:sz="0" w:space="0" w:color="auto"/>
                    <w:bottom w:val="none" w:sz="0" w:space="0" w:color="auto"/>
                    <w:right w:val="none" w:sz="0" w:space="0" w:color="auto"/>
                  </w:divBdr>
                  <w:divsChild>
                    <w:div w:id="1483043474">
                      <w:marLeft w:val="0"/>
                      <w:marRight w:val="0"/>
                      <w:marTop w:val="0"/>
                      <w:marBottom w:val="0"/>
                      <w:divBdr>
                        <w:top w:val="none" w:sz="0" w:space="0" w:color="auto"/>
                        <w:left w:val="none" w:sz="0" w:space="0" w:color="auto"/>
                        <w:bottom w:val="none" w:sz="0" w:space="0" w:color="auto"/>
                        <w:right w:val="none" w:sz="0" w:space="0" w:color="auto"/>
                      </w:divBdr>
                      <w:divsChild>
                        <w:div w:id="1179351431">
                          <w:marLeft w:val="0"/>
                          <w:marRight w:val="0"/>
                          <w:marTop w:val="0"/>
                          <w:marBottom w:val="0"/>
                          <w:divBdr>
                            <w:top w:val="none" w:sz="0" w:space="0" w:color="auto"/>
                            <w:left w:val="none" w:sz="0" w:space="0" w:color="auto"/>
                            <w:bottom w:val="none" w:sz="0" w:space="0" w:color="auto"/>
                            <w:right w:val="none" w:sz="0" w:space="0" w:color="auto"/>
                          </w:divBdr>
                          <w:divsChild>
                            <w:div w:id="1166290208">
                              <w:marLeft w:val="0"/>
                              <w:marRight w:val="0"/>
                              <w:marTop w:val="0"/>
                              <w:marBottom w:val="0"/>
                              <w:divBdr>
                                <w:top w:val="none" w:sz="0" w:space="0" w:color="auto"/>
                                <w:left w:val="none" w:sz="0" w:space="0" w:color="auto"/>
                                <w:bottom w:val="none" w:sz="0" w:space="0" w:color="auto"/>
                                <w:right w:val="none" w:sz="0" w:space="0" w:color="auto"/>
                              </w:divBdr>
                              <w:divsChild>
                                <w:div w:id="511183858">
                                  <w:marLeft w:val="0"/>
                                  <w:marRight w:val="0"/>
                                  <w:marTop w:val="0"/>
                                  <w:marBottom w:val="0"/>
                                  <w:divBdr>
                                    <w:top w:val="none" w:sz="0" w:space="0" w:color="auto"/>
                                    <w:left w:val="none" w:sz="0" w:space="0" w:color="auto"/>
                                    <w:bottom w:val="none" w:sz="0" w:space="0" w:color="auto"/>
                                    <w:right w:val="none" w:sz="0" w:space="0" w:color="auto"/>
                                  </w:divBdr>
                                  <w:divsChild>
                                    <w:div w:id="1689914626">
                                      <w:marLeft w:val="0"/>
                                      <w:marRight w:val="0"/>
                                      <w:marTop w:val="0"/>
                                      <w:marBottom w:val="0"/>
                                      <w:divBdr>
                                        <w:top w:val="none" w:sz="0" w:space="0" w:color="auto"/>
                                        <w:left w:val="none" w:sz="0" w:space="0" w:color="auto"/>
                                        <w:bottom w:val="none" w:sz="0" w:space="0" w:color="auto"/>
                                        <w:right w:val="none" w:sz="0" w:space="0" w:color="auto"/>
                                      </w:divBdr>
                                      <w:divsChild>
                                        <w:div w:id="1579024396">
                                          <w:marLeft w:val="0"/>
                                          <w:marRight w:val="0"/>
                                          <w:marTop w:val="0"/>
                                          <w:marBottom w:val="0"/>
                                          <w:divBdr>
                                            <w:top w:val="none" w:sz="0" w:space="0" w:color="auto"/>
                                            <w:left w:val="none" w:sz="0" w:space="0" w:color="auto"/>
                                            <w:bottom w:val="none" w:sz="0" w:space="0" w:color="auto"/>
                                            <w:right w:val="none" w:sz="0" w:space="0" w:color="auto"/>
                                          </w:divBdr>
                                          <w:divsChild>
                                            <w:div w:id="690180117">
                                              <w:marLeft w:val="150"/>
                                              <w:marRight w:val="0"/>
                                              <w:marTop w:val="0"/>
                                              <w:marBottom w:val="0"/>
                                              <w:divBdr>
                                                <w:top w:val="none" w:sz="0" w:space="0" w:color="auto"/>
                                                <w:left w:val="none" w:sz="0" w:space="0" w:color="auto"/>
                                                <w:bottom w:val="none" w:sz="0" w:space="0" w:color="auto"/>
                                                <w:right w:val="none" w:sz="0" w:space="0" w:color="auto"/>
                                              </w:divBdr>
                                              <w:divsChild>
                                                <w:div w:id="484513214">
                                                  <w:marLeft w:val="0"/>
                                                  <w:marRight w:val="0"/>
                                                  <w:marTop w:val="0"/>
                                                  <w:marBottom w:val="0"/>
                                                  <w:divBdr>
                                                    <w:top w:val="none" w:sz="0" w:space="0" w:color="auto"/>
                                                    <w:left w:val="none" w:sz="0" w:space="0" w:color="auto"/>
                                                    <w:bottom w:val="none" w:sz="0" w:space="0" w:color="auto"/>
                                                    <w:right w:val="none" w:sz="0" w:space="0" w:color="auto"/>
                                                  </w:divBdr>
                                                  <w:divsChild>
                                                    <w:div w:id="1136334920">
                                                      <w:marLeft w:val="0"/>
                                                      <w:marRight w:val="0"/>
                                                      <w:marTop w:val="0"/>
                                                      <w:marBottom w:val="0"/>
                                                      <w:divBdr>
                                                        <w:top w:val="none" w:sz="0" w:space="0" w:color="auto"/>
                                                        <w:left w:val="none" w:sz="0" w:space="0" w:color="auto"/>
                                                        <w:bottom w:val="none" w:sz="0" w:space="0" w:color="auto"/>
                                                        <w:right w:val="none" w:sz="0" w:space="0" w:color="auto"/>
                                                      </w:divBdr>
                                                      <w:divsChild>
                                                        <w:div w:id="832257941">
                                                          <w:marLeft w:val="0"/>
                                                          <w:marRight w:val="0"/>
                                                          <w:marTop w:val="0"/>
                                                          <w:marBottom w:val="0"/>
                                                          <w:divBdr>
                                                            <w:top w:val="none" w:sz="0" w:space="0" w:color="auto"/>
                                                            <w:left w:val="none" w:sz="0" w:space="0" w:color="auto"/>
                                                            <w:bottom w:val="none" w:sz="0" w:space="0" w:color="auto"/>
                                                            <w:right w:val="none" w:sz="0" w:space="0" w:color="auto"/>
                                                          </w:divBdr>
                                                          <w:divsChild>
                                                            <w:div w:id="1092816708">
                                                              <w:marLeft w:val="0"/>
                                                              <w:marRight w:val="0"/>
                                                              <w:marTop w:val="0"/>
                                                              <w:marBottom w:val="0"/>
                                                              <w:divBdr>
                                                                <w:top w:val="none" w:sz="0" w:space="0" w:color="auto"/>
                                                                <w:left w:val="none" w:sz="0" w:space="0" w:color="auto"/>
                                                                <w:bottom w:val="none" w:sz="0" w:space="0" w:color="auto"/>
                                                                <w:right w:val="none" w:sz="0" w:space="0" w:color="auto"/>
                                                              </w:divBdr>
                                                              <w:divsChild>
                                                                <w:div w:id="1359114413">
                                                                  <w:marLeft w:val="0"/>
                                                                  <w:marRight w:val="0"/>
                                                                  <w:marTop w:val="0"/>
                                                                  <w:marBottom w:val="0"/>
                                                                  <w:divBdr>
                                                                    <w:top w:val="none" w:sz="0" w:space="0" w:color="auto"/>
                                                                    <w:left w:val="none" w:sz="0" w:space="0" w:color="auto"/>
                                                                    <w:bottom w:val="none" w:sz="0" w:space="0" w:color="auto"/>
                                                                    <w:right w:val="none" w:sz="0" w:space="0" w:color="auto"/>
                                                                  </w:divBdr>
                                                                  <w:divsChild>
                                                                    <w:div w:id="1496459756">
                                                                      <w:marLeft w:val="0"/>
                                                                      <w:marRight w:val="0"/>
                                                                      <w:marTop w:val="0"/>
                                                                      <w:marBottom w:val="0"/>
                                                                      <w:divBdr>
                                                                        <w:top w:val="none" w:sz="0" w:space="0" w:color="auto"/>
                                                                        <w:left w:val="none" w:sz="0" w:space="0" w:color="auto"/>
                                                                        <w:bottom w:val="none" w:sz="0" w:space="0" w:color="auto"/>
                                                                        <w:right w:val="none" w:sz="0" w:space="0" w:color="auto"/>
                                                                      </w:divBdr>
                                                                      <w:divsChild>
                                                                        <w:div w:id="232080738">
                                                                          <w:marLeft w:val="0"/>
                                                                          <w:marRight w:val="0"/>
                                                                          <w:marTop w:val="0"/>
                                                                          <w:marBottom w:val="0"/>
                                                                          <w:divBdr>
                                                                            <w:top w:val="none" w:sz="0" w:space="0" w:color="auto"/>
                                                                            <w:left w:val="none" w:sz="0" w:space="0" w:color="auto"/>
                                                                            <w:bottom w:val="none" w:sz="0" w:space="0" w:color="auto"/>
                                                                            <w:right w:val="none" w:sz="0" w:space="0" w:color="auto"/>
                                                                          </w:divBdr>
                                                                          <w:divsChild>
                                                                            <w:div w:id="1170826721">
                                                                              <w:marLeft w:val="0"/>
                                                                              <w:marRight w:val="0"/>
                                                                              <w:marTop w:val="0"/>
                                                                              <w:marBottom w:val="0"/>
                                                                              <w:divBdr>
                                                                                <w:top w:val="none" w:sz="0" w:space="0" w:color="auto"/>
                                                                                <w:left w:val="none" w:sz="0" w:space="0" w:color="auto"/>
                                                                                <w:bottom w:val="none" w:sz="0" w:space="0" w:color="auto"/>
                                                                                <w:right w:val="none" w:sz="0" w:space="0" w:color="auto"/>
                                                                              </w:divBdr>
                                                                              <w:divsChild>
                                                                                <w:div w:id="1217551048">
                                                                                  <w:marLeft w:val="0"/>
                                                                                  <w:marRight w:val="0"/>
                                                                                  <w:marTop w:val="0"/>
                                                                                  <w:marBottom w:val="0"/>
                                                                                  <w:divBdr>
                                                                                    <w:top w:val="none" w:sz="0" w:space="0" w:color="auto"/>
                                                                                    <w:left w:val="none" w:sz="0" w:space="0" w:color="auto"/>
                                                                                    <w:bottom w:val="none" w:sz="0" w:space="0" w:color="auto"/>
                                                                                    <w:right w:val="none" w:sz="0" w:space="0" w:color="auto"/>
                                                                                  </w:divBdr>
                                                                                  <w:divsChild>
                                                                                    <w:div w:id="40163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resource-center/faqs/Sanctions/Pages/faq_iran.aspx" TargetMode="External"/><Relationship Id="rId13" Type="http://schemas.openxmlformats.org/officeDocument/2006/relationships/hyperlink" Target="https://www.treasury.gov/resource-center/faqs/Sanctions/Pages/faq_iran.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easury.gov/resource-center/faqs/Sanctions/Pages/faq_iran.aspx" TargetMode="External"/><Relationship Id="rId12" Type="http://schemas.openxmlformats.org/officeDocument/2006/relationships/hyperlink" Target="https://www.treasury.gov/resource-center/faqs/Sanctions/Pages/faq_iran.aspx" TargetMode="External"/><Relationship Id="rId17" Type="http://schemas.openxmlformats.org/officeDocument/2006/relationships/hyperlink" Target="https://www.treasury.gov/resource-center/sanctions/Programs/Documents/hum_exp_iran.pdf" TargetMode="External"/><Relationship Id="rId2" Type="http://schemas.microsoft.com/office/2007/relationships/stylesWithEffects" Target="stylesWithEffects.xml"/><Relationship Id="rId16" Type="http://schemas.openxmlformats.org/officeDocument/2006/relationships/hyperlink" Target="https://www.treasury.gov/resource-center/sanctions/Programs/Documents/iran_guidance_med.pdf" TargetMode="External"/><Relationship Id="rId1" Type="http://schemas.openxmlformats.org/officeDocument/2006/relationships/styles" Target="styles.xml"/><Relationship Id="rId6" Type="http://schemas.openxmlformats.org/officeDocument/2006/relationships/hyperlink" Target="https://www.treasury.gov/resource-center/faqs/Sanctions/Pages/faq_iran.aspx" TargetMode="External"/><Relationship Id="rId11" Type="http://schemas.openxmlformats.org/officeDocument/2006/relationships/hyperlink" Target="https://www.treasury.gov/resource-center/faqs/Sanctions/Pages/faq_iran.aspx" TargetMode="External"/><Relationship Id="rId5" Type="http://schemas.openxmlformats.org/officeDocument/2006/relationships/hyperlink" Target="https://www.treasury.gov/resource-center/sanctions/Programs/Documents/gtsr_gl8.pdf" TargetMode="External"/><Relationship Id="rId15" Type="http://schemas.openxmlformats.org/officeDocument/2006/relationships/hyperlink" Target="https://www.treasury.gov/resource-center/faqs/Sanctions/Pages/faq_iran.aspx" TargetMode="External"/><Relationship Id="rId10" Type="http://schemas.openxmlformats.org/officeDocument/2006/relationships/hyperlink" Target="https://www.treasury.gov/resource-center/faqs/Sanctions/Pages/faq_iran.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reasury.gov/resource-center/sanctions/Programs/Documents/iran_gle.pdf" TargetMode="External"/><Relationship Id="rId14" Type="http://schemas.openxmlformats.org/officeDocument/2006/relationships/hyperlink" Target="https://www.treasury.gov/resource-center/faqs/Sanctions/Pages/faq_iran.asp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751</Words>
  <Characters>4282</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Peisino Donatella</dc:creator>
  <cp:lastModifiedBy>Peisino Donatella</cp:lastModifiedBy>
  <cp:revision>1</cp:revision>
  <cp:lastPrinted>2020-03-16T11:55:00Z</cp:lastPrinted>
  <dcterms:created xsi:type="dcterms:W3CDTF">2020-03-16T11:55:00Z</dcterms:created>
  <dcterms:modified xsi:type="dcterms:W3CDTF">2020-03-16T12:05:00Z</dcterms:modified>
</cp:coreProperties>
</file>